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0"/>
          <w:szCs w:val="30"/>
        </w:rPr>
        <w:t>附件1</w:t>
      </w:r>
    </w:p>
    <w:p>
      <w:pPr>
        <w:widowControl/>
        <w:rPr>
          <w:rFonts w:hint="default" w:ascii="Times New Roman" w:hAnsi="Times New Roman" w:eastAsia="黑体" w:cs="Times New Roman"/>
          <w:b/>
          <w:bCs w:val="0"/>
          <w:color w:val="auto"/>
          <w:kern w:val="0"/>
          <w:sz w:val="30"/>
          <w:szCs w:val="30"/>
        </w:rPr>
      </w:pPr>
    </w:p>
    <w:p>
      <w:pPr>
        <w:spacing w:after="120" w:afterLines="50" w:line="56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auto"/>
          <w:szCs w:val="32"/>
        </w:rPr>
      </w:pPr>
      <w:bookmarkStart w:id="0" w:name="_Toc4395476"/>
      <w:r>
        <w:rPr>
          <w:rFonts w:hint="default" w:ascii="Times New Roman" w:hAnsi="Times New Roman" w:eastAsia="方正小标宋简体" w:cs="Times New Roman"/>
          <w:b/>
          <w:bCs w:val="0"/>
          <w:color w:val="auto"/>
          <w:sz w:val="44"/>
          <w:szCs w:val="44"/>
        </w:rPr>
        <w:t>营山县县情简介</w:t>
      </w:r>
      <w:bookmarkEnd w:id="0"/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</w:pP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营山地处四川盆地东北部，介于嘉陵江与渠江流域之间，是南充市东大门，成渝西三角经济区的重要组成部分。全县幅员面积1635平方公里，辖26个乡镇、3个街道、348个行政村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48"/>
          <w:lang w:eastAsia="zh-CN"/>
        </w:rPr>
        <w:t>（农村社区）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、16个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48"/>
          <w:lang w:eastAsia="zh-CN"/>
        </w:rPr>
        <w:t>城市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社区。2019年末，全县户籍人口97万人，常住人口75.2万人，其中，城镇人口33.8万人，乡村人口41.4万人，常住人口城镇化率44.88%。营山交通便捷，有“一铁四高”对外大通道，东出达州通湖北，西至南充进成都，南向广安达重庆，北上巴中望秦川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营山历史悠久。建县1400余年，周为巴国賨地，秦属巴郡，汉归巴西郡宕渠县。南朝时，在今营山县安固乡、三元乡、黄渡镇先后设立安固县、绥安县、宕渠县，唐武德四年（621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48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）于今县治置朗池县。北宋大中祥符五年（1012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48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），因县城四周群山起伏、沟峦纵横、状如营垒，改朗池县为营山县。此后由元至清，先后隶属顺庆路蓬州、川北道顺庆府。新中国成立后，营山县先后归属川北行署区南充专区、四川省南充专区、南充地区、南充市管辖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营山属川陕革命老区。1926年2月，在骆市镇杨家花园成立营山第一个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48"/>
          <w:lang w:eastAsia="zh-CN"/>
        </w:rPr>
        <w:t>党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支部。1932年，红四方面军在此创建川陕革命根据地。1933年，营渠战役爆发，历经激战马深溪、抢夺陈大寨、奇袭照珠河等9次战役，歼敌3000余人。营山县先后建立700多个区、乡、村苏维埃政权，成为川陕革命根据地的重要组成部分。全县有15800余人参加支援前线工作，8500多名营山儿女为中华民族解放事业献出了宝贵生命，先后涌现出杨伯恺、柏载鹍、陈同生等革命先辈，现存红九军政治部、骆市陵园等红军文化遗迹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营山耕读文化源远流长。自古文风鼎盛，从宋至清，共有举人200余人、进士57人，跻身四川州县前列，素有“科第仕宦，甲于蜀都”之美誉。民俗文化丰富多彩，“翻山铰子”、竹编工艺被列入国家、省、市级非物质文化遗产。佛教文化历史悠久，千年佛道兼修圣地太蓬山，隋唐时期便与峨嵋山齐名，保存完好的唐代《安禄山题龛》，是目前我国乃至世界研究杨贵妃终老之地的唯一石刻。营山人才辈出，是蜀派古琴家侯作吾、铁道专家文蒸蔚、革命烈士杨伯恺、百岁老红军王定国等名人故乡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营山县紧紧围绕省委“一干多支”发展战略和市委“155”发展战略，当好融渝发展排头兵、打造综合交通次枢纽、建设商贸物流集散地，不断深化与成渝地区、友好区县对接交流，大力实施交通、产业、建设、开放、合作“五大会战”，加快构建区域统筹、基础同网、产业同链发展格局，为建设有影响力的山水田园城市和川渝合作示范县、争创全市经济副中心、</w:t>
      </w:r>
      <w:r>
        <w:rPr>
          <w:rFonts w:hint="eastAsia" w:ascii="Times New Roman" w:hAnsi="Times New Roman" w:eastAsia="方正仿宋简体" w:cs="Times New Roman"/>
          <w:b/>
          <w:bCs w:val="0"/>
          <w:color w:val="auto"/>
          <w:sz w:val="32"/>
          <w:szCs w:val="48"/>
          <w:lang w:eastAsia="zh-CN"/>
        </w:rPr>
        <w:t>打造成渝双城经济圈次级核东部增长极、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全省县域经济发展先进县奠定了坚实基础。2019年全县实现GDP 21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1.5亿元，增长8.0%；一般公共预算收入8.5亿元，增长9.3%；社会消费品零售总额109.6亿元，增长11.1%；全社会固定资产投资增长15.8%，增幅居全市第3位；规上工业增加值增长10.2%，增幅居全市第3位；城镇居民人均可支配收入26655元，增长9.6%，增幅居全市第3位；农村居民人均可支配收入14945元，增长10.7%，增幅居全市第3位。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营山是全国粮食生产先进县、全国生猪调出大县、黑山羊养殖示范县。营山冰糖柚曾荣获全国优质水果称号，坚持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4"/>
        </w:rPr>
        <w:t>做大优质粮油、环保生猪2大传统产业，做优营山黑山羊、现代水产2大特色产业，做强木本油料（花椒、油橄榄）、绿色果蔬、中药材3大富民产业，做实现代农业种业、现代农业装备、现代农业烘干冷链物流3大先导性产业支撑，培育形成特色鲜明、结构合理、链条完整的现代农业“2233”产业体系。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48"/>
        </w:rPr>
        <w:t>矿藏资源丰富，以非金属矿为主，如石油、天然气、卤水等。目前探明储量超过3000亿立方米的龙岗气田，部分区域便处于营山境内。有国家湿地公园清水湖、省级森林公园望龙湖、省级地质公园黑马山、佛道兼修圣地太蓬山等优质旅游资源。</w:t>
      </w:r>
    </w:p>
    <w:p/>
    <w:sectPr>
      <w:footerReference r:id="rId3" w:type="default"/>
      <w:pgSz w:w="11907" w:h="16840"/>
      <w:pgMar w:top="1701" w:right="1418" w:bottom="1474" w:left="1474" w:header="851" w:footer="992" w:gutter="0"/>
      <w:cols w:space="720" w:num="1"/>
      <w:docGrid w:linePitch="559" w:charSpace="41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hint="eastAsia" w:ascii="宋体" w:hAnsi="宋体"/>
        <w:b/>
        <w:bCs/>
        <w:sz w:val="28"/>
        <w:szCs w:val="28"/>
      </w:rPr>
    </w:pPr>
    <w:r>
      <w:rPr>
        <w:rStyle w:val="7"/>
        <w:rFonts w:hint="eastAsia" w:ascii="宋体" w:hAnsi="宋体"/>
        <w:b/>
        <w:bCs/>
        <w:sz w:val="28"/>
        <w:szCs w:val="28"/>
      </w:rPr>
      <w:t xml:space="preserve">— </w:t>
    </w:r>
    <w:r>
      <w:rPr>
        <w:b/>
        <w:bCs/>
        <w:sz w:val="28"/>
        <w:szCs w:val="28"/>
      </w:rPr>
      <w:fldChar w:fldCharType="begin"/>
    </w:r>
    <w:r>
      <w:rPr>
        <w:rStyle w:val="7"/>
        <w:b/>
        <w:bCs/>
        <w:sz w:val="28"/>
        <w:szCs w:val="28"/>
      </w:rPr>
      <w:instrText xml:space="preserve">PAGE  </w:instrText>
    </w:r>
    <w:r>
      <w:rPr>
        <w:b/>
        <w:bCs/>
        <w:sz w:val="28"/>
        <w:szCs w:val="28"/>
      </w:rPr>
      <w:fldChar w:fldCharType="separate"/>
    </w:r>
    <w:r>
      <w:rPr>
        <w:rStyle w:val="7"/>
        <w:b/>
        <w:bCs/>
        <w:sz w:val="28"/>
        <w:szCs w:val="28"/>
      </w:rPr>
      <w:t>13</w:t>
    </w:r>
    <w:r>
      <w:rPr>
        <w:b/>
        <w:bCs/>
        <w:sz w:val="28"/>
        <w:szCs w:val="28"/>
      </w:rPr>
      <w:fldChar w:fldCharType="end"/>
    </w:r>
    <w:r>
      <w:rPr>
        <w:rFonts w:hint="eastAsia" w:ascii="宋体" w:hAnsi="宋体"/>
        <w:b/>
        <w:bCs/>
        <w:sz w:val="28"/>
        <w:szCs w:val="28"/>
      </w:rPr>
      <w:t xml:space="preserve"> </w:t>
    </w:r>
    <w:r>
      <w:rPr>
        <w:rStyle w:val="7"/>
        <w:rFonts w:hint="eastAsia" w:ascii="宋体" w:hAnsi="宋体"/>
        <w:b/>
        <w:bCs/>
        <w:sz w:val="28"/>
        <w:szCs w:val="28"/>
      </w:rPr>
      <w:t>—</w:t>
    </w:r>
  </w:p>
  <w:p>
    <w:pPr>
      <w:pStyle w:val="3"/>
      <w:framePr w:wrap="around" w:vAnchor="text" w:hAnchor="margin" w:xAlign="center" w:y="1"/>
      <w:ind w:right="360" w:firstLine="360"/>
      <w:rPr>
        <w:rStyle w:val="7"/>
        <w:rFonts w:eastAsia="方正仿宋简体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D65DD"/>
    <w:rsid w:val="404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2020-10-26T09:54:00Z</dcterms:created>
  <dc:creator>Ken</dc:creator>
  <cp:lastModifiedBy>Ken</cp:lastModifiedBy>
  <dcterms:modified xsi:type="dcterms:W3CDTF">2020-10-26T09:55:14Z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