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1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132"/>
        <w:gridCol w:w="1050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9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县属国有投资集团有限公司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2022年公开招聘管理人员应聘报名表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（公职人员）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3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1"/>
              </w:tabs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1"/>
              </w:tabs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6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住址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58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3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ind w:firstLine="6746" w:firstLineChars="3200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ind w:firstLine="6746" w:firstLineChars="3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1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" w:eastAsia="zh-CN"/>
              </w:rPr>
              <w:t>组织、人社（事）部门意见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ind w:firstLine="6746" w:firstLineChars="3200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4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6.“组织人事部门意见”按干部管理权限填写，注明“同意报考” 或“不同意报考”。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c5ODZjM2E5NzBmMmVlMzZiOTJjY2YzMjRlYzQifQ=="/>
  </w:docVars>
  <w:rsids>
    <w:rsidRoot w:val="6200581F"/>
    <w:rsid w:val="620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2022-09-30T13:27:00Z</dcterms:created>
  <dc:creator>Shadow</dc:creator>
  <cp:lastModifiedBy>Shadow</cp:lastModifiedBy>
  <dcterms:modified xsi:type="dcterms:W3CDTF">2022-09-30T13:27:17Z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3DD8056FA8AF476D87010B387AFDA47C</vt:lpwstr>
  </property>
</Properties>
</file>