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center"/>
        <w:rPr>
          <w:color w:val="00000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新龙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县202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第二批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公益性岗位招聘职位表</w:t>
      </w:r>
    </w:p>
    <w:bookmarkEnd w:id="0"/>
    <w:tbl>
      <w:tblPr>
        <w:tblStyle w:val="3"/>
        <w:tblpPr w:leftFromText="180" w:rightFromText="180" w:vertAnchor="text" w:horzAnchor="page" w:tblpX="882" w:tblpY="746"/>
        <w:tblOverlap w:val="never"/>
        <w:tblW w:w="100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2130"/>
        <w:gridCol w:w="975"/>
        <w:gridCol w:w="1775"/>
        <w:gridCol w:w="2575"/>
        <w:gridCol w:w="18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招聘单位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招聘名额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职位名称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职位资格条件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招聘范围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县委办公室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保洁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具备相应的履职能力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面向县内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县委宣传部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保洁、后勤保障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具备相应的履职能力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面向县内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县委统战部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后勤保障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具备相应的履职能力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面向县内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县委政法委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后勤保障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具备相应的履职能力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面向县内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县总工会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后勤保障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具备相应的履职能力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面向县内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县科协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后勤保障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具备相应的履职能力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面向县内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县红十字会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后勤保障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具备相应的履职能力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面向县内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县委党校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后勤保障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具备相应的履职能力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面向县内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县民政局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后勤保障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具备相应的履职能力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面向县内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县财政局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后勤保障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具备相应的履职能力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面向县内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县交通运输局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后勤保障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具备相应的履职能力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面向县内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县卫生健康局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后勤保障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具备相应的履职能力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面向县内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县乡村振兴局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保洁、后勤保障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具备相应的履职能力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面向县内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县医保局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后勤保障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具备相应的履职能力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面向县内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县行政审批局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服务大厅保洁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具备相应的履职能力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面向县内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县志办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后勤保障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具备相应的履职能力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面向县内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银多乡人民政府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保洁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具备相应的履职能力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面向县内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雄龙西乡人民政府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后勤保障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具备相应的履职能力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面向县内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813E36"/>
    <w:rsid w:val="2781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2023-02-07T06:35:00Z</dcterms:created>
  <dc:creator>WPS_1658135067</dc:creator>
  <cp:lastModifiedBy>WPS_1658135067</cp:lastModifiedBy>
  <dcterms:modified xsi:type="dcterms:W3CDTF">2023-02-07T06:35:34Z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